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195C00">
        <w:rPr>
          <w:sz w:val="28"/>
          <w:szCs w:val="28"/>
        </w:rPr>
        <w:t>86MS0005-01-2024-010784-66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195C00">
        <w:rPr>
          <w:sz w:val="28"/>
          <w:szCs w:val="28"/>
        </w:rPr>
        <w:t>05-4863/0501/2024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 октября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Азябина</w:t>
      </w:r>
      <w:r>
        <w:rPr>
          <w:sz w:val="28"/>
          <w:szCs w:val="28"/>
        </w:rPr>
        <w:t xml:space="preserve"> А</w:t>
      </w:r>
      <w:r w:rsidR="0001666F">
        <w:rPr>
          <w:sz w:val="28"/>
          <w:szCs w:val="28"/>
        </w:rPr>
        <w:t>.А., ***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Азябин</w:t>
      </w:r>
      <w:r>
        <w:rPr>
          <w:rFonts w:eastAsia="Times New Roman CYR"/>
          <w:sz w:val="28"/>
          <w:szCs w:val="28"/>
        </w:rPr>
        <w:t xml:space="preserve"> А</w:t>
      </w:r>
      <w:r w:rsidR="0001666F">
        <w:rPr>
          <w:rFonts w:eastAsia="Times New Roman CYR"/>
          <w:sz w:val="28"/>
          <w:szCs w:val="28"/>
        </w:rPr>
        <w:t>.А.</w:t>
      </w:r>
      <w:r>
        <w:rPr>
          <w:sz w:val="28"/>
          <w:szCs w:val="28"/>
        </w:rPr>
        <w:t xml:space="preserve"> 22.09.2024 в 08:30</w:t>
      </w:r>
      <w:r w:rsidR="00A3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на 41 км автодороги Нефтеюганск-Сургут Нефтеюганский район, управляя т/с 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</w:rPr>
        <w:t xml:space="preserve"> 217030, государственный регистрационный знак </w:t>
      </w:r>
      <w:r w:rsidR="0001666F">
        <w:rPr>
          <w:sz w:val="28"/>
          <w:szCs w:val="28"/>
        </w:rPr>
        <w:t>***</w:t>
      </w:r>
      <w:r>
        <w:rPr>
          <w:sz w:val="28"/>
          <w:szCs w:val="28"/>
        </w:rPr>
        <w:t xml:space="preserve"> совершил обгон впереди двигающегося легкового транспортного средства  с выездом на полосу дороги, предназначенную для </w:t>
      </w:r>
      <w:r>
        <w:rPr>
          <w:sz w:val="28"/>
          <w:szCs w:val="28"/>
        </w:rPr>
        <w:t xml:space="preserve">встречного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Азябин</w:t>
      </w:r>
      <w:r>
        <w:rPr>
          <w:rFonts w:eastAsia="Times New Roman CYR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</w:t>
      </w:r>
      <w:r w:rsidRPr="00977630">
        <w:rPr>
          <w:sz w:val="28"/>
          <w:szCs w:val="28"/>
        </w:rPr>
        <w:t>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</w:t>
      </w:r>
      <w:r w:rsidRPr="00977630">
        <w:rPr>
          <w:sz w:val="28"/>
          <w:szCs w:val="28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Азябин</w:t>
      </w:r>
      <w:r>
        <w:rPr>
          <w:rFonts w:eastAsia="Times New Roman CYR"/>
          <w:sz w:val="28"/>
          <w:szCs w:val="28"/>
          <w:lang w:val="ru-RU"/>
        </w:rPr>
        <w:t>а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195C00">
        <w:rPr>
          <w:rFonts w:eastAsia="Times New Roman CYR"/>
          <w:sz w:val="28"/>
          <w:szCs w:val="28"/>
        </w:rPr>
        <w:t>Азябин</w:t>
      </w:r>
      <w:r w:rsidR="00195C00">
        <w:rPr>
          <w:rFonts w:eastAsia="Times New Roman CYR"/>
          <w:sz w:val="28"/>
          <w:szCs w:val="28"/>
          <w:lang w:val="ru-RU"/>
        </w:rPr>
        <w:t>а</w:t>
      </w:r>
      <w:r w:rsidRPr="0062561C">
        <w:rPr>
          <w:sz w:val="28"/>
          <w:szCs w:val="28"/>
        </w:rPr>
        <w:t xml:space="preserve"> в совершении правонарушения полност</w:t>
      </w:r>
      <w:r w:rsidRPr="0062561C">
        <w:rPr>
          <w:sz w:val="28"/>
          <w:szCs w:val="28"/>
        </w:rPr>
        <w:t>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195C00">
        <w:rPr>
          <w:sz w:val="28"/>
          <w:szCs w:val="28"/>
        </w:rPr>
        <w:t>86хм639254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195C00">
        <w:rPr>
          <w:sz w:val="28"/>
          <w:szCs w:val="28"/>
        </w:rPr>
        <w:t>22.09.2024</w:t>
      </w:r>
      <w:r w:rsidRPr="0062561C">
        <w:rPr>
          <w:sz w:val="28"/>
          <w:szCs w:val="28"/>
        </w:rPr>
        <w:t xml:space="preserve">, согласно которому </w:t>
      </w:r>
      <w:r w:rsidR="00195C00">
        <w:rPr>
          <w:rFonts w:eastAsia="Times New Roman CYR"/>
          <w:sz w:val="28"/>
          <w:szCs w:val="28"/>
        </w:rPr>
        <w:t>Азябин</w:t>
      </w:r>
      <w:r w:rsidRPr="00EF1C33">
        <w:rPr>
          <w:sz w:val="28"/>
          <w:szCs w:val="28"/>
        </w:rPr>
        <w:t xml:space="preserve"> </w:t>
      </w:r>
      <w:r w:rsidR="00195C00">
        <w:rPr>
          <w:sz w:val="28"/>
          <w:szCs w:val="28"/>
        </w:rPr>
        <w:t xml:space="preserve">22.09.2024 в 08:30 час. на 41 км автодороги Нефтеюганск-Сургут Нефтеюганский район, управляя т/с </w:t>
      </w:r>
      <w:r w:rsidR="00195C00">
        <w:rPr>
          <w:sz w:val="28"/>
          <w:szCs w:val="28"/>
          <w:lang w:val="en-US"/>
        </w:rPr>
        <w:t>LADA</w:t>
      </w:r>
      <w:r w:rsidR="00195C00">
        <w:rPr>
          <w:sz w:val="28"/>
          <w:szCs w:val="28"/>
        </w:rPr>
        <w:t xml:space="preserve"> 217030, государственный регистрационный знак </w:t>
      </w:r>
      <w:r w:rsidR="0001666F">
        <w:rPr>
          <w:sz w:val="28"/>
          <w:szCs w:val="28"/>
        </w:rPr>
        <w:t>***</w:t>
      </w:r>
      <w:r w:rsidR="00195C00">
        <w:rPr>
          <w:sz w:val="28"/>
          <w:szCs w:val="28"/>
        </w:rPr>
        <w:t xml:space="preserve"> совершил обгон впереди двигающегося легкового транспортного средства  с выездом на полосу дороги, предназначенную для встречного движения в зоне действия дорожного знака 3.20 «Обгон запрещен», при этом пересек сплошную линию горизонтальной дорожной разметки 1.1,  чем </w:t>
      </w:r>
      <w:r w:rsidRPr="00B30AD8" w:rsidR="00195C00">
        <w:rPr>
          <w:sz w:val="28"/>
          <w:szCs w:val="28"/>
        </w:rPr>
        <w:t>нарушил п. 1.3</w:t>
      </w:r>
      <w:r w:rsidR="00195C00">
        <w:rPr>
          <w:sz w:val="28"/>
          <w:szCs w:val="28"/>
        </w:rPr>
        <w:t>, 9.1.1</w:t>
      </w:r>
      <w:r w:rsidRPr="00B30AD8" w:rsidR="00195C00"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 xml:space="preserve">. </w:t>
      </w:r>
      <w:r w:rsidR="00195C00">
        <w:rPr>
          <w:rFonts w:eastAsia="Times New Roman CYR"/>
          <w:sz w:val="28"/>
          <w:szCs w:val="28"/>
        </w:rPr>
        <w:t>Азябину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195C00">
        <w:rPr>
          <w:sz w:val="28"/>
          <w:szCs w:val="28"/>
        </w:rPr>
        <w:t>22.09.2024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195C00">
        <w:rPr>
          <w:rFonts w:eastAsia="Times New Roman CYR"/>
          <w:sz w:val="28"/>
          <w:szCs w:val="28"/>
        </w:rPr>
        <w:t>Азябин</w:t>
      </w:r>
      <w:r w:rsidRPr="0062561C">
        <w:rPr>
          <w:sz w:val="28"/>
          <w:szCs w:val="28"/>
        </w:rPr>
        <w:t xml:space="preserve"> </w:t>
      </w:r>
      <w:r w:rsidR="00195C00">
        <w:rPr>
          <w:sz w:val="28"/>
          <w:szCs w:val="28"/>
        </w:rPr>
        <w:t>41 км автодороги Нефтеюганск-Сургут Нефтеюганский район,</w:t>
      </w:r>
      <w:r w:rsidRPr="00C43E9D">
        <w:rPr>
          <w:color w:val="FF0000"/>
          <w:sz w:val="28"/>
          <w:szCs w:val="28"/>
        </w:rPr>
        <w:t xml:space="preserve"> двигаясь со стороны </w:t>
      </w:r>
      <w:r w:rsidR="00195C00">
        <w:rPr>
          <w:color w:val="FF0000"/>
          <w:sz w:val="28"/>
          <w:szCs w:val="28"/>
        </w:rPr>
        <w:t xml:space="preserve">г. Сургут в сторону г. </w:t>
      </w:r>
      <w:r w:rsidRPr="00C43E9D">
        <w:rPr>
          <w:color w:val="FF0000"/>
          <w:sz w:val="28"/>
          <w:szCs w:val="28"/>
        </w:rPr>
        <w:t xml:space="preserve">Нефтеюганск, </w:t>
      </w:r>
      <w:r w:rsidRPr="0062561C">
        <w:rPr>
          <w:sz w:val="28"/>
          <w:szCs w:val="28"/>
        </w:rPr>
        <w:t>совершил обгон попутно идущего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</w:t>
      </w:r>
      <w:r w:rsidRPr="00E648FB">
        <w:rPr>
          <w:sz w:val="28"/>
          <w:szCs w:val="28"/>
        </w:rPr>
        <w:t>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</w:t>
      </w:r>
      <w:r w:rsidR="00195C00">
        <w:rPr>
          <w:sz w:val="28"/>
          <w:szCs w:val="28"/>
        </w:rPr>
        <w:t xml:space="preserve">зам.ком.взвода </w:t>
      </w:r>
      <w:r w:rsidRPr="00C43E9D">
        <w:rPr>
          <w:color w:val="FF0000"/>
          <w:sz w:val="28"/>
          <w:szCs w:val="28"/>
        </w:rPr>
        <w:t xml:space="preserve"> 1 роты № 2 ОБ ДПС ГИБДД УМВД России по ХМАО-Югре </w:t>
      </w:r>
      <w:r w:rsidR="00195C00">
        <w:rPr>
          <w:color w:val="FF0000"/>
          <w:sz w:val="28"/>
          <w:szCs w:val="28"/>
        </w:rPr>
        <w:t>Валеева Р.Р. от 22.09.2024</w:t>
      </w:r>
      <w:r w:rsidRPr="0062561C">
        <w:rPr>
          <w:sz w:val="28"/>
          <w:szCs w:val="28"/>
        </w:rPr>
        <w:t xml:space="preserve">, согласно которому </w:t>
      </w:r>
      <w:r w:rsidR="00195C00">
        <w:rPr>
          <w:sz w:val="28"/>
          <w:szCs w:val="28"/>
        </w:rPr>
        <w:t xml:space="preserve">22.09.2024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195C00">
        <w:rPr>
          <w:sz w:val="28"/>
          <w:szCs w:val="28"/>
        </w:rPr>
        <w:t>08 час. 30 мин. на 41 км автодороги Нефтеюганск-Сургут Нефтеюганский район</w:t>
      </w:r>
      <w:r w:rsidRPr="0062561C">
        <w:rPr>
          <w:sz w:val="28"/>
          <w:szCs w:val="28"/>
        </w:rPr>
        <w:t xml:space="preserve"> </w:t>
      </w:r>
      <w:r>
        <w:rPr>
          <w:sz w:val="28"/>
          <w:szCs w:val="28"/>
        </w:rPr>
        <w:t>за нар</w:t>
      </w:r>
      <w:r>
        <w:rPr>
          <w:sz w:val="28"/>
          <w:szCs w:val="28"/>
        </w:rPr>
        <w:t xml:space="preserve">ушение ПДД </w:t>
      </w:r>
      <w:r w:rsidRPr="0062561C">
        <w:rPr>
          <w:sz w:val="28"/>
          <w:szCs w:val="28"/>
        </w:rPr>
        <w:t xml:space="preserve">было остановлено </w:t>
      </w:r>
      <w:r w:rsidR="00195C00">
        <w:rPr>
          <w:sz w:val="28"/>
          <w:szCs w:val="28"/>
        </w:rPr>
        <w:t xml:space="preserve">т/с </w:t>
      </w:r>
      <w:r w:rsidR="00195C00">
        <w:rPr>
          <w:sz w:val="28"/>
          <w:szCs w:val="28"/>
          <w:lang w:val="en-US"/>
        </w:rPr>
        <w:t>LADA</w:t>
      </w:r>
      <w:r w:rsidR="00195C00">
        <w:rPr>
          <w:sz w:val="28"/>
          <w:szCs w:val="28"/>
        </w:rPr>
        <w:t xml:space="preserve"> 217030, государственный регистрационный знак </w:t>
      </w:r>
      <w:r w:rsidR="0001666F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195C00">
        <w:rPr>
          <w:rFonts w:eastAsia="Times New Roman CYR"/>
          <w:sz w:val="28"/>
          <w:szCs w:val="28"/>
        </w:rPr>
        <w:t>Азябина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>совершил  обгон</w:t>
      </w:r>
      <w:r w:rsidRPr="0062561C">
        <w:rPr>
          <w:sz w:val="28"/>
          <w:szCs w:val="28"/>
        </w:rPr>
        <w:t xml:space="preserve">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</w:t>
      </w:r>
      <w:r w:rsidR="00195C00">
        <w:rPr>
          <w:sz w:val="28"/>
          <w:szCs w:val="28"/>
        </w:rPr>
        <w:t xml:space="preserve">легкового </w:t>
      </w:r>
      <w:r w:rsidRPr="0062561C">
        <w:rPr>
          <w:sz w:val="28"/>
          <w:szCs w:val="28"/>
        </w:rPr>
        <w:t xml:space="preserve">транспортного средства, с выездом на полосу дороги предназначенной для встречного </w:t>
      </w:r>
      <w:r w:rsidRPr="0062561C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</w:t>
      </w:r>
      <w:r w:rsidRPr="0062561C">
        <w:rPr>
          <w:sz w:val="28"/>
          <w:szCs w:val="28"/>
        </w:rPr>
        <w:t xml:space="preserve">; </w:t>
      </w:r>
    </w:p>
    <w:p w:rsidR="00195C00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>
        <w:rPr>
          <w:sz w:val="28"/>
          <w:szCs w:val="28"/>
        </w:rPr>
        <w:t>«</w:t>
      </w:r>
      <w:r w:rsidRPr="00D76B16">
        <w:rPr>
          <w:color w:val="FF0000"/>
          <w:sz w:val="28"/>
          <w:szCs w:val="28"/>
        </w:rPr>
        <w:t>Нефтеюганск-</w:t>
      </w:r>
      <w:r w:rsidR="00F77745">
        <w:rPr>
          <w:sz w:val="28"/>
          <w:szCs w:val="28"/>
        </w:rPr>
        <w:t>Сургут</w:t>
      </w:r>
      <w:r w:rsidR="00195C00">
        <w:rPr>
          <w:sz w:val="28"/>
          <w:szCs w:val="28"/>
        </w:rPr>
        <w:t>»</w:t>
      </w:r>
      <w:r w:rsidRPr="00D76B16">
        <w:rPr>
          <w:color w:val="FF0000"/>
          <w:sz w:val="28"/>
          <w:szCs w:val="28"/>
        </w:rPr>
        <w:t>, согласно к</w:t>
      </w:r>
      <w:r w:rsidRPr="00D76B16">
        <w:rPr>
          <w:color w:val="FF0000"/>
          <w:sz w:val="28"/>
          <w:szCs w:val="28"/>
        </w:rPr>
        <w:t xml:space="preserve">оторой на </w:t>
      </w:r>
      <w:r w:rsidR="00195C00">
        <w:rPr>
          <w:color w:val="FF0000"/>
          <w:sz w:val="28"/>
          <w:szCs w:val="28"/>
        </w:rPr>
        <w:t>4</w:t>
      </w:r>
      <w:r w:rsidRPr="00D76B16">
        <w:rPr>
          <w:color w:val="FF0000"/>
          <w:sz w:val="28"/>
          <w:szCs w:val="28"/>
        </w:rPr>
        <w:t>1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</w:t>
      </w:r>
      <w:r w:rsidRPr="0062561C">
        <w:rPr>
          <w:sz w:val="28"/>
          <w:szCs w:val="28"/>
        </w:rPr>
        <w:t>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 xml:space="preserve">Согласно разъяснениям, содержащимся в Пленуме  Верховного Суда Российской </w:t>
      </w:r>
      <w:r w:rsidRPr="001A77D4">
        <w:rPr>
          <w:rFonts w:eastAsia="Calibri"/>
          <w:sz w:val="28"/>
          <w:szCs w:val="28"/>
          <w:lang w:eastAsia="en-US"/>
        </w:rPr>
        <w:t>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</w:t>
      </w:r>
      <w:r w:rsidRPr="0062561C">
        <w:rPr>
          <w:sz w:val="28"/>
          <w:szCs w:val="28"/>
        </w:rPr>
        <w:t>рушениях» д</w:t>
      </w:r>
      <w:r w:rsidRPr="001A77D4">
        <w:rPr>
          <w:rFonts w:eastAsia="Calibri"/>
          <w:sz w:val="28"/>
          <w:szCs w:val="28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1A77D4">
        <w:rPr>
          <w:rFonts w:eastAsia="Calibri"/>
          <w:sz w:val="28"/>
          <w:szCs w:val="28"/>
          <w:lang w:eastAsia="en-US"/>
        </w:rPr>
        <w:t>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>на любых дорогах с двусторонним движением запрещается движение по полосе, пре</w:t>
      </w:r>
      <w:r w:rsidRPr="00E9233F">
        <w:rPr>
          <w:sz w:val="28"/>
          <w:szCs w:val="28"/>
        </w:rPr>
        <w:t xml:space="preserve">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</w:t>
        </w:r>
        <w:r w:rsidRPr="00E9233F">
          <w:rPr>
            <w:sz w:val="28"/>
            <w:szCs w:val="28"/>
          </w:rPr>
          <w:t>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</w:t>
      </w:r>
      <w:r w:rsidRPr="00E9233F">
        <w:rPr>
          <w:sz w:val="28"/>
          <w:szCs w:val="28"/>
        </w:rPr>
        <w:t xml:space="preserve">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</w:t>
      </w:r>
      <w:r w:rsidRPr="00E9233F">
        <w:rPr>
          <w:sz w:val="28"/>
          <w:szCs w:val="28"/>
        </w:rPr>
        <w:t>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41E28" w:rsidRPr="00D41E28" w:rsidP="00D41E28"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41E28">
        <w:rPr>
          <w:rFonts w:ascii="Times New Roman" w:hAnsi="Times New Roman"/>
          <w:color w:val="FF0000"/>
          <w:sz w:val="28"/>
          <w:szCs w:val="28"/>
        </w:rPr>
        <w:t>В соответствии с 9.1.1 ПДД на любых дорогах с двусторонним движением запрещается дв</w:t>
      </w:r>
      <w:r w:rsidRPr="00D41E28">
        <w:rPr>
          <w:rFonts w:ascii="Times New Roman" w:hAnsi="Times New Roman"/>
          <w:color w:val="FF0000"/>
          <w:sz w:val="28"/>
          <w:szCs w:val="28"/>
        </w:rPr>
        <w:t>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>, к запрещающим дорожным</w:t>
      </w:r>
      <w:r w:rsidRPr="00E81246">
        <w:rPr>
          <w:sz w:val="28"/>
          <w:szCs w:val="28"/>
        </w:rPr>
        <w:t xml:space="preserve">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</w:t>
      </w:r>
      <w:r>
        <w:t>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</w:t>
      </w:r>
      <w:r>
        <w:t>инию дорожной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195C00">
        <w:rPr>
          <w:rFonts w:eastAsia="Times New Roman CYR"/>
          <w:sz w:val="28"/>
          <w:szCs w:val="28"/>
        </w:rPr>
        <w:t>Азябиным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</w:t>
      </w:r>
      <w:r w:rsidRPr="0062561C">
        <w:rPr>
          <w:sz w:val="28"/>
          <w:szCs w:val="28"/>
        </w:rPr>
        <w:t xml:space="preserve">щими критерию относимости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 w:rsidR="00195C00"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</w:t>
      </w:r>
      <w:r w:rsidRPr="0062561C">
        <w:rPr>
          <w:sz w:val="28"/>
          <w:szCs w:val="28"/>
        </w:rPr>
        <w:t xml:space="preserve">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 w:rsidRPr="0062561C"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</w:t>
      </w:r>
      <w:r w:rsidRPr="0062561C">
        <w:rPr>
          <w:sz w:val="28"/>
          <w:szCs w:val="28"/>
        </w:rPr>
        <w:t>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195C00">
        <w:rPr>
          <w:rFonts w:eastAsia="Times New Roman CYR"/>
          <w:sz w:val="28"/>
          <w:szCs w:val="28"/>
        </w:rPr>
        <w:t>Азябина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</w:t>
      </w:r>
      <w:r w:rsidRPr="0062561C">
        <w:rPr>
          <w:sz w:val="28"/>
          <w:szCs w:val="28"/>
        </w:rPr>
        <w:t>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195C00">
        <w:rPr>
          <w:rFonts w:eastAsia="Times New Roman CYR"/>
          <w:sz w:val="28"/>
          <w:szCs w:val="28"/>
        </w:rPr>
        <w:t>Азябина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</w:t>
      </w:r>
      <w:r w:rsidRPr="001B7327">
        <w:rPr>
          <w:sz w:val="28"/>
          <w:szCs w:val="28"/>
        </w:rPr>
        <w:t xml:space="preserve">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является повторное с</w:t>
      </w:r>
      <w:r>
        <w:rPr>
          <w:sz w:val="28"/>
          <w:szCs w:val="28"/>
        </w:rPr>
        <w:t>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195C00">
        <w:rPr>
          <w:rFonts w:eastAsia="Times New Roman CYR"/>
          <w:sz w:val="28"/>
          <w:szCs w:val="28"/>
        </w:rPr>
        <w:t>Азябину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 учётом изложенного, руководствуясь ст.</w:t>
      </w:r>
      <w:r w:rsidRPr="0062561C">
        <w:rPr>
          <w:sz w:val="28"/>
          <w:szCs w:val="28"/>
        </w:rPr>
        <w:t xml:space="preserve">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195C00">
        <w:rPr>
          <w:rFonts w:eastAsia="Times New Roman CYR"/>
          <w:sz w:val="28"/>
          <w:szCs w:val="28"/>
        </w:rPr>
        <w:t>Азябина</w:t>
      </w:r>
      <w:r w:rsidR="00195C00">
        <w:rPr>
          <w:rFonts w:eastAsia="Times New Roman CYR"/>
          <w:sz w:val="28"/>
          <w:szCs w:val="28"/>
        </w:rPr>
        <w:t xml:space="preserve"> А</w:t>
      </w:r>
      <w:r w:rsidR="0001666F">
        <w:rPr>
          <w:rFonts w:eastAsia="Times New Roman CYR"/>
          <w:sz w:val="28"/>
          <w:szCs w:val="28"/>
        </w:rPr>
        <w:t>.А.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</w:t>
      </w:r>
      <w:r w:rsidRPr="00BF2787">
        <w:rPr>
          <w:sz w:val="28"/>
          <w:szCs w:val="28"/>
        </w:rPr>
        <w:t xml:space="preserve">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>Штраф подлежит уплате: Получатель УФК по ХМАО-</w:t>
      </w:r>
      <w:r w:rsidRPr="00981294">
        <w:rPr>
          <w:rFonts w:ascii="Times New Roman" w:hAnsi="Times New Roman"/>
          <w:sz w:val="28"/>
          <w:szCs w:val="28"/>
        </w:rPr>
        <w:t>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</w:t>
      </w:r>
      <w:r w:rsidRPr="00981294">
        <w:rPr>
          <w:rFonts w:ascii="Times New Roman" w:hAnsi="Times New Roman"/>
          <w:sz w:val="28"/>
          <w:szCs w:val="28"/>
        </w:rPr>
        <w:t>Мансийск,  БИК</w:t>
      </w:r>
      <w:r w:rsidRPr="00981294">
        <w:rPr>
          <w:rFonts w:ascii="Times New Roman" w:hAnsi="Times New Roman"/>
          <w:sz w:val="28"/>
          <w:szCs w:val="28"/>
        </w:rPr>
        <w:t xml:space="preserve">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195C00">
        <w:rPr>
          <w:rFonts w:ascii="Times New Roman" w:hAnsi="Times New Roman"/>
          <w:color w:val="FF0000"/>
          <w:sz w:val="28"/>
          <w:szCs w:val="28"/>
        </w:rPr>
        <w:t>7</w:t>
      </w:r>
      <w:r w:rsidRPr="00F77745">
        <w:rPr>
          <w:rFonts w:ascii="Times New Roman" w:hAnsi="Times New Roman"/>
          <w:color w:val="FF0000"/>
          <w:sz w:val="28"/>
          <w:szCs w:val="28"/>
        </w:rPr>
        <w:t>1000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4010281</w:t>
      </w:r>
      <w:r w:rsidRPr="00981294">
        <w:rPr>
          <w:rFonts w:ascii="Times New Roman" w:hAnsi="Times New Roman"/>
          <w:sz w:val="28"/>
          <w:szCs w:val="28"/>
        </w:rPr>
        <w:t>0245370000007, КБК 18811601123010001140</w:t>
      </w:r>
      <w:r w:rsidR="00195C00">
        <w:rPr>
          <w:rFonts w:ascii="Times New Roman" w:hAnsi="Times New Roman"/>
          <w:sz w:val="28"/>
          <w:szCs w:val="28"/>
        </w:rPr>
        <w:t>,</w:t>
      </w:r>
      <w:r w:rsidRPr="00981294">
        <w:rPr>
          <w:rFonts w:ascii="Times New Roman" w:hAnsi="Times New Roman"/>
          <w:sz w:val="28"/>
          <w:szCs w:val="28"/>
        </w:rPr>
        <w:t xml:space="preserve"> </w:t>
      </w:r>
      <w:r w:rsidR="00A67AEC">
        <w:rPr>
          <w:rFonts w:ascii="Times New Roman" w:hAnsi="Times New Roman"/>
          <w:sz w:val="28"/>
          <w:szCs w:val="28"/>
        </w:rPr>
        <w:t xml:space="preserve">УИН </w:t>
      </w:r>
      <w:r w:rsidR="0001666F">
        <w:rPr>
          <w:rFonts w:ascii="Times New Roman" w:hAnsi="Times New Roman"/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</w:t>
      </w:r>
      <w:r w:rsidRPr="0062561C">
        <w:rPr>
          <w:rFonts w:ascii="Times New Roman" w:hAnsi="Times New Roman"/>
          <w:sz w:val="28"/>
          <w:szCs w:val="28"/>
        </w:rPr>
        <w:t>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</w:t>
      </w:r>
      <w:r>
        <w:rPr>
          <w:sz w:val="28"/>
          <w:szCs w:val="28"/>
        </w:rPr>
        <w:t>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D76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1666F"/>
    <w:rsid w:val="000247D4"/>
    <w:rsid w:val="00030CD7"/>
    <w:rsid w:val="00064CC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5C0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4A7E"/>
    <w:rsid w:val="00275812"/>
    <w:rsid w:val="002A212B"/>
    <w:rsid w:val="002A71E9"/>
    <w:rsid w:val="002D07E6"/>
    <w:rsid w:val="002D356D"/>
    <w:rsid w:val="002D782A"/>
    <w:rsid w:val="002F6E8A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870B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A4F00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A0101B"/>
    <w:rsid w:val="00A01710"/>
    <w:rsid w:val="00A30086"/>
    <w:rsid w:val="00A537B6"/>
    <w:rsid w:val="00A67AEC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12323"/>
    <w:rsid w:val="00E34E9E"/>
    <w:rsid w:val="00E362BE"/>
    <w:rsid w:val="00E40710"/>
    <w:rsid w:val="00E648FB"/>
    <w:rsid w:val="00E70851"/>
    <w:rsid w:val="00E70B0E"/>
    <w:rsid w:val="00E81246"/>
    <w:rsid w:val="00E9233F"/>
    <w:rsid w:val="00E94601"/>
    <w:rsid w:val="00E95F3E"/>
    <w:rsid w:val="00EA2E1B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67C14AA-2B43-49B8-961F-C55D68F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